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77BF5B78" w:rsidR="00A212E0" w:rsidRDefault="00B623DF">
            <w:pPr>
              <w:spacing w:after="33"/>
            </w:pPr>
            <w:r>
              <w:rPr>
                <w:rFonts w:ascii="Arial" w:eastAsia="Arial" w:hAnsi="Arial" w:cs="Arial"/>
                <w:sz w:val="36"/>
              </w:rPr>
              <w:t>□</w:t>
            </w:r>
            <w:r w:rsidR="009469F3">
              <w:rPr>
                <w:rFonts w:ascii="Arial" w:eastAsia="Arial" w:hAnsi="Arial" w:cs="Arial"/>
                <w:sz w:val="20"/>
              </w:rPr>
              <w:t xml:space="preserve">Quarter 1 (January 1 – March 31) </w:t>
            </w:r>
          </w:p>
          <w:p w14:paraId="5F5881E3" w14:textId="77777777" w:rsidR="00A212E0" w:rsidRDefault="009469F3">
            <w:pPr>
              <w:spacing w:after="36"/>
            </w:pPr>
            <w:r>
              <w:rPr>
                <w:rFonts w:ascii="Arial" w:eastAsia="Arial" w:hAnsi="Arial" w:cs="Arial"/>
                <w:sz w:val="36"/>
              </w:rPr>
              <w:t>□</w:t>
            </w:r>
            <w:r>
              <w:rPr>
                <w:rFonts w:ascii="Arial" w:eastAsia="Arial" w:hAnsi="Arial" w:cs="Arial"/>
                <w:sz w:val="20"/>
              </w:rPr>
              <w:t xml:space="preserve">Quarter 2 (April 1 – June 30) </w:t>
            </w:r>
          </w:p>
          <w:p w14:paraId="3C6FE4A3" w14:textId="77777777" w:rsidR="00B623DF" w:rsidRDefault="009469F3">
            <w:pPr>
              <w:spacing w:after="34"/>
              <w:rPr>
                <w:rFonts w:ascii="Arial" w:eastAsia="Arial" w:hAnsi="Arial" w:cs="Arial"/>
                <w:sz w:val="20"/>
              </w:rPr>
            </w:pPr>
            <w:r>
              <w:rPr>
                <w:rFonts w:ascii="Arial" w:eastAsia="Arial" w:hAnsi="Arial" w:cs="Arial"/>
                <w:sz w:val="36"/>
              </w:rPr>
              <w:t>□</w:t>
            </w:r>
            <w:r>
              <w:rPr>
                <w:rFonts w:ascii="Arial" w:eastAsia="Arial" w:hAnsi="Arial" w:cs="Arial"/>
                <w:sz w:val="20"/>
              </w:rPr>
              <w:t>Quarter 3 (July 1 – September 30)</w:t>
            </w:r>
          </w:p>
          <w:p w14:paraId="7E9CAB62" w14:textId="0324F8F8" w:rsidR="00B623DF" w:rsidRDefault="009469F3">
            <w:pPr>
              <w:spacing w:after="34"/>
            </w:pPr>
            <w:r>
              <w:rPr>
                <w:rFonts w:ascii="Arial" w:eastAsia="Arial" w:hAnsi="Arial" w:cs="Arial"/>
                <w:sz w:val="20"/>
              </w:rPr>
              <w:t xml:space="preserve"> </w:t>
            </w:r>
          </w:p>
          <w:p w14:paraId="655CD385" w14:textId="7013DFA0" w:rsidR="00A212E0" w:rsidRDefault="00B623DF">
            <w:r>
              <w:rPr>
                <w:rFonts w:ascii="Arial" w:eastAsia="Arial" w:hAnsi="Arial" w:cs="Arial"/>
                <w:sz w:val="20"/>
              </w:rPr>
              <w:t xml:space="preserve">X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7777777" w:rsidR="00A212E0" w:rsidRDefault="006F6CC6">
            <w:r>
              <w:t>N/A</w:t>
            </w:r>
          </w:p>
        </w:tc>
        <w:tc>
          <w:tcPr>
            <w:tcW w:w="3419" w:type="dxa"/>
            <w:tcBorders>
              <w:top w:val="single" w:sz="4" w:space="0" w:color="000000"/>
              <w:left w:val="single" w:sz="4" w:space="0" w:color="000000"/>
              <w:bottom w:val="single" w:sz="4" w:space="0" w:color="000000"/>
              <w:right w:val="single" w:sz="4" w:space="0" w:color="000000"/>
            </w:tcBorders>
          </w:tcPr>
          <w:p w14:paraId="00AC3740" w14:textId="77777777" w:rsidR="00A212E0" w:rsidRDefault="006F6CC6">
            <w:pPr>
              <w:ind w:left="1"/>
            </w:pPr>
            <w:r>
              <w:t>N/A</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77777777" w:rsidR="00A212E0" w:rsidRDefault="006F6CC6">
            <w:pPr>
              <w:ind w:left="844"/>
              <w:jc w:val="center"/>
            </w:pPr>
            <w:r>
              <w:rPr>
                <w:rFonts w:ascii="Arial" w:eastAsia="Arial" w:hAnsi="Arial" w:cs="Arial"/>
                <w:sz w:val="20"/>
              </w:rPr>
              <w:t>N/A</w:t>
            </w:r>
            <w:r w:rsidR="009469F3">
              <w:rPr>
                <w:rFonts w:ascii="Arial" w:eastAsia="Arial" w:hAnsi="Arial" w:cs="Arial"/>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D488AA" w14:textId="77777777" w:rsidR="00A212E0" w:rsidRDefault="006F6CC6">
            <w:r>
              <w:rPr>
                <w:rFonts w:ascii="Arial" w:eastAsia="Arial" w:hAnsi="Arial" w:cs="Arial"/>
                <w:sz w:val="20"/>
              </w:rPr>
              <w:t>N/A</w:t>
            </w:r>
          </w:p>
        </w:tc>
        <w:tc>
          <w:tcPr>
            <w:tcW w:w="3419" w:type="dxa"/>
            <w:tcBorders>
              <w:top w:val="single" w:sz="4" w:space="0" w:color="000000"/>
              <w:left w:val="single" w:sz="4" w:space="0" w:color="000000"/>
              <w:bottom w:val="single" w:sz="4" w:space="0" w:color="000000"/>
              <w:right w:val="single" w:sz="4" w:space="0" w:color="000000"/>
            </w:tcBorders>
          </w:tcPr>
          <w:p w14:paraId="778BD046" w14:textId="77777777" w:rsidR="00A212E0" w:rsidRDefault="006F6CC6">
            <w:pPr>
              <w:ind w:left="1"/>
            </w:pPr>
            <w:r>
              <w:rPr>
                <w:rFonts w:ascii="Arial" w:eastAsia="Arial" w:hAnsi="Arial" w:cs="Arial"/>
                <w:sz w:val="20"/>
              </w:rPr>
              <w:t>N/A</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2D3AD7BC"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D43A6DE" w14:textId="77777777" w:rsidR="00A0133C"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A0133C">
        <w:rPr>
          <w:rFonts w:ascii="Arial" w:eastAsia="Arial" w:hAnsi="Arial" w:cs="Arial"/>
          <w:sz w:val="20"/>
        </w:rPr>
        <w:t>Second</w:t>
      </w:r>
      <w:r w:rsidR="00BB1CAD">
        <w:rPr>
          <w:rFonts w:ascii="Arial" w:eastAsia="Arial" w:hAnsi="Arial" w:cs="Arial"/>
          <w:sz w:val="20"/>
        </w:rPr>
        <w:t xml:space="preserve"> RFP was posted in </w:t>
      </w:r>
      <w:r w:rsidR="00A0133C">
        <w:rPr>
          <w:rFonts w:ascii="Arial" w:eastAsia="Arial" w:hAnsi="Arial" w:cs="Arial"/>
          <w:sz w:val="20"/>
        </w:rPr>
        <w:t>December 2021</w:t>
      </w:r>
      <w:r w:rsidR="00BB1CAD">
        <w:rPr>
          <w:rFonts w:ascii="Arial" w:eastAsia="Arial" w:hAnsi="Arial" w:cs="Arial"/>
          <w:sz w:val="20"/>
        </w:rPr>
        <w:t xml:space="preserve">, currently scoring proposals to </w:t>
      </w:r>
      <w:proofErr w:type="gramStart"/>
      <w:r w:rsidR="00BB1CAD">
        <w:rPr>
          <w:rFonts w:ascii="Arial" w:eastAsia="Arial" w:hAnsi="Arial" w:cs="Arial"/>
          <w:sz w:val="20"/>
        </w:rPr>
        <w:t>make a selection</w:t>
      </w:r>
      <w:proofErr w:type="gramEnd"/>
      <w:r w:rsidR="00BB1CAD">
        <w:rPr>
          <w:rFonts w:ascii="Arial" w:eastAsia="Arial" w:hAnsi="Arial" w:cs="Arial"/>
          <w:sz w:val="20"/>
        </w:rPr>
        <w:t xml:space="preserve"> anticipated </w:t>
      </w:r>
    </w:p>
    <w:p w14:paraId="45731DC4" w14:textId="3E2A181A" w:rsidR="00803078" w:rsidRPr="00803078" w:rsidRDefault="00BB1CAD"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by the </w:t>
      </w:r>
      <w:r w:rsidR="00A0133C">
        <w:rPr>
          <w:rFonts w:ascii="Arial" w:eastAsia="Arial" w:hAnsi="Arial" w:cs="Arial"/>
          <w:sz w:val="20"/>
        </w:rPr>
        <w:t>Mid-March 2022</w:t>
      </w:r>
    </w:p>
    <w:p w14:paraId="6C49B334" w14:textId="6A916010"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BB1CAD">
        <w:rPr>
          <w:rFonts w:ascii="Arial" w:eastAsia="Arial" w:hAnsi="Arial" w:cs="Arial"/>
          <w:sz w:val="20"/>
        </w:rPr>
        <w:t xml:space="preserve">Scoring proposal meetings ongoing through </w:t>
      </w:r>
      <w:r w:rsidR="00A0133C">
        <w:rPr>
          <w:rFonts w:ascii="Arial" w:eastAsia="Arial" w:hAnsi="Arial" w:cs="Arial"/>
          <w:sz w:val="20"/>
        </w:rPr>
        <w:t>March 2022</w:t>
      </w:r>
    </w:p>
    <w:p w14:paraId="47FFFF12" w14:textId="6EC49F25"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r>
        <w:t>d.</w:t>
      </w:r>
      <w:r>
        <w:tab/>
      </w:r>
      <w:r w:rsidR="00A0133C">
        <w:t>Waiting on FFY 2022 funds from participating states</w:t>
      </w: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3E809021"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6526178E" w14:textId="3A38952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A0133C">
        <w:rPr>
          <w:rFonts w:ascii="Arial" w:eastAsia="Arial" w:hAnsi="Arial" w:cs="Arial"/>
          <w:sz w:val="20"/>
        </w:rPr>
        <w:t xml:space="preserve">Second RFP proposals to be scored </w:t>
      </w:r>
    </w:p>
    <w:p w14:paraId="01628D10"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t>Proposal to be selected</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8C2806A" w14:textId="30CE76EE" w:rsidR="00A212E0" w:rsidRDefault="009469F3">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b/>
          <w:sz w:val="20"/>
        </w:rPr>
        <w:t xml:space="preserve"> </w:t>
      </w:r>
      <w:r w:rsidR="009A1A92">
        <w:rPr>
          <w:rFonts w:ascii="Arial" w:eastAsia="Arial" w:hAnsi="Arial" w:cs="Arial"/>
          <w:sz w:val="20"/>
        </w:rPr>
        <w:t xml:space="preserve">First </w:t>
      </w:r>
      <w:r w:rsidR="00A0133C">
        <w:rPr>
          <w:rFonts w:ascii="Arial" w:eastAsia="Arial" w:hAnsi="Arial" w:cs="Arial"/>
          <w:sz w:val="20"/>
        </w:rPr>
        <w:t>project is underway and draft roadmap to be delivered in February 2022</w:t>
      </w:r>
      <w:bookmarkStart w:id="0" w:name="_GoBack"/>
      <w:bookmarkEnd w:id="0"/>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7777777" w:rsidR="00216AB8" w:rsidRDefault="00216AB8">
      <w:pPr>
        <w:pBdr>
          <w:top w:val="single" w:sz="4" w:space="0" w:color="000000"/>
          <w:left w:val="single" w:sz="4" w:space="0" w:color="000000"/>
          <w:bottom w:val="single" w:sz="4" w:space="0" w:color="000000"/>
          <w:right w:val="single" w:sz="4" w:space="0" w:color="000000"/>
        </w:pBdr>
        <w:spacing w:after="4" w:line="250" w:lineRule="auto"/>
        <w:ind w:left="10" w:hanging="10"/>
      </w:pPr>
      <w:r>
        <w:t>None this quarter</w:t>
      </w:r>
    </w:p>
    <w:p w14:paraId="727DC2C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DA55F0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C3C2FC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C024F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FBCF34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ECE737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E809" w14:textId="77777777" w:rsidR="00240EA0" w:rsidRDefault="00240EA0">
      <w:pPr>
        <w:spacing w:after="0" w:line="240" w:lineRule="auto"/>
      </w:pPr>
      <w:r>
        <w:separator/>
      </w:r>
    </w:p>
  </w:endnote>
  <w:endnote w:type="continuationSeparator" w:id="0">
    <w:p w14:paraId="4D1EE58A" w14:textId="77777777" w:rsidR="00240EA0" w:rsidRDefault="002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B4D1" w14:textId="77777777" w:rsidR="00240EA0" w:rsidRDefault="00240EA0">
      <w:pPr>
        <w:spacing w:after="0" w:line="240" w:lineRule="auto"/>
      </w:pPr>
      <w:r>
        <w:separator/>
      </w:r>
    </w:p>
  </w:footnote>
  <w:footnote w:type="continuationSeparator" w:id="0">
    <w:p w14:paraId="3135D0FF" w14:textId="77777777" w:rsidR="00240EA0" w:rsidRDefault="00240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C6E3D"/>
    <w:rsid w:val="00216AB8"/>
    <w:rsid w:val="00240EA0"/>
    <w:rsid w:val="00290874"/>
    <w:rsid w:val="00310475"/>
    <w:rsid w:val="003E0904"/>
    <w:rsid w:val="004F1B1F"/>
    <w:rsid w:val="006A40BB"/>
    <w:rsid w:val="006D2ED6"/>
    <w:rsid w:val="006F5F42"/>
    <w:rsid w:val="006F6CC6"/>
    <w:rsid w:val="007B66A9"/>
    <w:rsid w:val="00803078"/>
    <w:rsid w:val="009469F3"/>
    <w:rsid w:val="009A1A92"/>
    <w:rsid w:val="00A0133C"/>
    <w:rsid w:val="00A212E0"/>
    <w:rsid w:val="00A3558C"/>
    <w:rsid w:val="00A706C6"/>
    <w:rsid w:val="00A75A94"/>
    <w:rsid w:val="00B623DF"/>
    <w:rsid w:val="00B9489D"/>
    <w:rsid w:val="00BB1CAD"/>
    <w:rsid w:val="00D36EC4"/>
    <w:rsid w:val="00E35603"/>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4</cp:revision>
  <dcterms:created xsi:type="dcterms:W3CDTF">2022-01-28T11:31:00Z</dcterms:created>
  <dcterms:modified xsi:type="dcterms:W3CDTF">2022-01-28T11:40:00Z</dcterms:modified>
</cp:coreProperties>
</file>