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476C7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476C7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</w:rPr>
        <w:t>INSTRUCTIONS: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476C7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6476C7" w:rsidTr="00360664">
        <w:trPr>
          <w:trHeight w:val="1997"/>
        </w:trPr>
        <w:tc>
          <w:tcPr>
            <w:tcW w:w="5418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476C7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476C7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6476C7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6476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807F41" w:rsidRDefault="00807F41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7F4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807F4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807F41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807F41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807F41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807F4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402A74" w:rsidRDefault="00402A74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402A74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402A74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402A74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402A74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402A74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402A7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402A74" w:rsidRDefault="00402A74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02A74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402A7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402A74">
              <w:rPr>
                <w:rFonts w:ascii="Arial" w:hAnsi="Arial" w:cs="Arial"/>
                <w:b/>
                <w:sz w:val="20"/>
                <w:szCs w:val="20"/>
              </w:rPr>
              <w:t>Quarter 3 (July 1 – September 30, 20</w:t>
            </w:r>
            <w:r w:rsidR="00E51A89" w:rsidRPr="00402A7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F7756" w:rsidRPr="00402A7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6546" w:rsidRPr="00402A7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209F" w:rsidRPr="002F7756" w:rsidRDefault="002F7756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F775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2F775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2F7756">
              <w:rPr>
                <w:rFonts w:ascii="Arial" w:hAnsi="Arial" w:cs="Arial"/>
                <w:sz w:val="20"/>
                <w:szCs w:val="20"/>
              </w:rPr>
              <w:t>2</w:t>
            </w:r>
            <w:r w:rsidRP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6476C7" w:rsidTr="00360664">
        <w:tc>
          <w:tcPr>
            <w:tcW w:w="10908" w:type="dxa"/>
            <w:gridSpan w:val="4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476C7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476C7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476C7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476C7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476C7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6476C7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6476C7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1F67">
              <w:rPr>
                <w:rFonts w:ascii="Arial" w:hAnsi="Arial" w:cs="Arial"/>
                <w:sz w:val="20"/>
                <w:szCs w:val="20"/>
              </w:rPr>
              <w:t>1</w:t>
            </w:r>
            <w:r w:rsidR="00921F67" w:rsidRPr="00921F6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F67" w:rsidRPr="006476C7">
              <w:rPr>
                <w:rFonts w:ascii="Arial" w:hAnsi="Arial" w:cs="Arial"/>
                <w:sz w:val="20"/>
                <w:szCs w:val="20"/>
              </w:rPr>
              <w:t xml:space="preserve">UDOT 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Contract No. </w:t>
            </w:r>
            <w:r w:rsidR="00FE0176" w:rsidRPr="006476C7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944396" w:rsidRPr="006476C7" w:rsidRDefault="00944396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D56">
              <w:rPr>
                <w:rFonts w:ascii="Arial" w:hAnsi="Arial" w:cs="Arial"/>
                <w:sz w:val="20"/>
                <w:szCs w:val="20"/>
              </w:rPr>
              <w:t>2</w:t>
            </w:r>
            <w:r w:rsidR="00520D56" w:rsidRPr="00921F6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UDOT Contract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No.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8A1">
              <w:rPr>
                <w:rFonts w:ascii="Arial" w:hAnsi="Arial" w:cs="Arial"/>
                <w:sz w:val="20"/>
                <w:szCs w:val="20"/>
              </w:rPr>
              <w:t>21-8438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6476C7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6476C7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6476C7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(</w:t>
            </w:r>
            <w:r w:rsidR="0094439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4439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0C209F" w:rsidRPr="004F10AD" w:rsidRDefault="004F10AD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F10AD">
              <w:rPr>
                <w:rFonts w:ascii="Arial" w:hAnsi="Arial" w:cs="Arial"/>
                <w:sz w:val="20"/>
                <w:szCs w:val="20"/>
              </w:rPr>
              <w:t>November 10, 2020 (2</w:t>
            </w:r>
            <w:r w:rsidRPr="004F10A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4F10AD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476C7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Default="00E97C18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30, 20</w:t>
            </w:r>
            <w:r w:rsidR="00472ED0"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439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4439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contract</w:t>
            </w:r>
            <w:r w:rsidR="00F51C37" w:rsidRPr="006476C7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168A0" w:rsidRPr="006476C7" w:rsidRDefault="001D456E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30, 2021 (2</w:t>
            </w:r>
            <w:r w:rsidRPr="001D456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:rsidR="000C209F" w:rsidRPr="006476C7" w:rsidRDefault="00402A74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31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, 2021 (pooled fund)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EC4" w:rsidRDefault="006F606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3EC4">
              <w:rPr>
                <w:rFonts w:ascii="Arial" w:hAnsi="Arial" w:cs="Arial"/>
                <w:sz w:val="20"/>
                <w:szCs w:val="20"/>
              </w:rPr>
              <w:t>1</w:t>
            </w:r>
            <w:r w:rsidR="00EF3EC4" w:rsidRPr="00EF3EC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F3EC4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E97C18">
              <w:rPr>
                <w:rFonts w:ascii="Arial" w:hAnsi="Arial" w:cs="Arial"/>
                <w:sz w:val="20"/>
                <w:szCs w:val="20"/>
              </w:rPr>
              <w:t>7</w:t>
            </w:r>
            <w:r w:rsidR="007D64F6" w:rsidRPr="006476C7">
              <w:rPr>
                <w:rFonts w:ascii="Arial" w:hAnsi="Arial" w:cs="Arial"/>
                <w:sz w:val="20"/>
                <w:szCs w:val="20"/>
              </w:rPr>
              <w:t xml:space="preserve"> contract mod</w:t>
            </w:r>
            <w:r w:rsidR="00EF3EC4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EF3EC4" w:rsidRPr="006476C7" w:rsidRDefault="00EF3EC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EF3EC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contract: no mods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Project schedule status: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476C7">
        <w:rPr>
          <w:rFonts w:ascii="Arial" w:hAnsi="Arial" w:cs="Arial"/>
          <w:b/>
          <w:sz w:val="20"/>
          <w:szCs w:val="20"/>
        </w:rPr>
        <w:t xml:space="preserve"> </w:t>
      </w:r>
      <w:r w:rsidR="002D4396" w:rsidRPr="006476C7">
        <w:rPr>
          <w:rFonts w:ascii="Arial" w:hAnsi="Arial" w:cs="Arial"/>
          <w:sz w:val="20"/>
          <w:szCs w:val="20"/>
        </w:rPr>
        <w:t>On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On revised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</w:t>
      </w:r>
      <w:r w:rsidR="002D4396" w:rsidRPr="006476C7">
        <w:rPr>
          <w:rFonts w:ascii="Arial" w:hAnsi="Arial" w:cs="Arial"/>
          <w:sz w:val="20"/>
          <w:szCs w:val="20"/>
        </w:rPr>
        <w:t xml:space="preserve"> </w:t>
      </w:r>
      <w:r w:rsidRPr="006476C7">
        <w:rPr>
          <w:rFonts w:ascii="Arial" w:hAnsi="Arial" w:cs="Arial"/>
          <w:sz w:val="20"/>
          <w:szCs w:val="20"/>
        </w:rPr>
        <w:t>Ahead of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Behind schedule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476C7" w:rsidTr="00360664">
        <w:tc>
          <w:tcPr>
            <w:tcW w:w="4158" w:type="dxa"/>
            <w:vAlign w:val="center"/>
          </w:tcPr>
          <w:p w:rsidR="00167BE5" w:rsidRPr="006476C7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155E64">
              <w:rPr>
                <w:rFonts w:ascii="Arial" w:hAnsi="Arial" w:cs="Arial"/>
                <w:sz w:val="20"/>
                <w:szCs w:val="20"/>
              </w:rPr>
              <w:t>51</w:t>
            </w:r>
            <w:r w:rsidRPr="006476C7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4</w:t>
            </w:r>
            <w:r w:rsidR="00E903B0">
              <w:rPr>
                <w:rFonts w:ascii="Arial" w:hAnsi="Arial" w:cs="Arial"/>
                <w:sz w:val="20"/>
                <w:szCs w:val="20"/>
              </w:rPr>
              <w:t>9</w:t>
            </w:r>
            <w:r w:rsidR="00155E64">
              <w:rPr>
                <w:rFonts w:ascii="Arial" w:hAnsi="Arial" w:cs="Arial"/>
                <w:sz w:val="20"/>
                <w:szCs w:val="20"/>
              </w:rPr>
              <w:t>0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,518.97</w:t>
            </w:r>
          </w:p>
          <w:p w:rsidR="00845B74" w:rsidRDefault="00921F67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5458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54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B59" w:rsidRPr="006476C7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8139B0" w:rsidRPr="006476C7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="00097B59" w:rsidRPr="006476C7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333,141.33</w:t>
            </w:r>
          </w:p>
          <w:p w:rsidR="00921F67" w:rsidRPr="006476C7" w:rsidRDefault="00B5458A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5458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="00921F67">
              <w:rPr>
                <w:rFonts w:ascii="Arial" w:hAnsi="Arial" w:cs="Arial"/>
                <w:sz w:val="20"/>
                <w:szCs w:val="20"/>
              </w:rPr>
              <w:t>urrent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921F67">
              <w:rPr>
                <w:rFonts w:ascii="Arial" w:hAnsi="Arial" w:cs="Arial"/>
                <w:sz w:val="20"/>
                <w:szCs w:val="20"/>
              </w:rPr>
              <w:t xml:space="preserve"> contract amount = </w:t>
            </w:r>
            <w:r w:rsidR="00921F67" w:rsidRPr="00921F67">
              <w:rPr>
                <w:rFonts w:ascii="Arial" w:hAnsi="Arial" w:cs="Arial"/>
                <w:sz w:val="20"/>
                <w:szCs w:val="20"/>
              </w:rPr>
              <w:t>$93,281.57</w:t>
            </w:r>
          </w:p>
          <w:p w:rsidR="00097B59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Fund balance not on contract = 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$</w:t>
            </w:r>
            <w:r w:rsidR="00B10C81" w:rsidRPr="00B10C81">
              <w:rPr>
                <w:rFonts w:ascii="Arial" w:hAnsi="Arial" w:cs="Arial"/>
                <w:sz w:val="20"/>
                <w:szCs w:val="20"/>
              </w:rPr>
              <w:t>117,871.62</w:t>
            </w:r>
          </w:p>
        </w:tc>
        <w:tc>
          <w:tcPr>
            <w:tcW w:w="3330" w:type="dxa"/>
            <w:vAlign w:val="center"/>
          </w:tcPr>
          <w:p w:rsidR="000400FA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$298,081.23</w:t>
            </w:r>
            <w:r w:rsidR="00473987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6476C7">
              <w:rPr>
                <w:rFonts w:ascii="Arial" w:hAnsi="Arial" w:cs="Arial"/>
                <w:sz w:val="20"/>
                <w:szCs w:val="20"/>
              </w:rPr>
              <w:t xml:space="preserve">(from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E0C63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6476C7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DE0C63" w:rsidRPr="006476C7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</w:t>
            </w:r>
            <w:r w:rsidR="0039301F">
              <w:rPr>
                <w:rFonts w:ascii="Arial" w:hAnsi="Arial" w:cs="Arial"/>
                <w:sz w:val="20"/>
                <w:szCs w:val="20"/>
              </w:rPr>
              <w:t>34,775.83</w:t>
            </w:r>
            <w:r>
              <w:rPr>
                <w:rFonts w:ascii="Arial" w:hAnsi="Arial" w:cs="Arial"/>
                <w:sz w:val="20"/>
                <w:szCs w:val="20"/>
              </w:rPr>
              <w:t xml:space="preserve"> (from 2</w:t>
            </w:r>
            <w:r w:rsidRPr="00DE0C6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:rsidR="002F6C13" w:rsidRPr="006476C7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$5,</w:t>
            </w:r>
            <w:r w:rsidR="000937D4">
              <w:rPr>
                <w:rFonts w:ascii="Arial" w:hAnsi="Arial" w:cs="Arial"/>
                <w:sz w:val="20"/>
                <w:szCs w:val="20"/>
              </w:rPr>
              <w:t>284.55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0400FA" w:rsidRPr="006476C7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6476C7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i/>
          <w:sz w:val="20"/>
          <w:szCs w:val="20"/>
        </w:rPr>
        <w:t>Quarterly</w:t>
      </w:r>
      <w:r w:rsidRPr="006476C7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295F62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2F66FD" w:rsidRPr="006476C7">
              <w:rPr>
                <w:rFonts w:ascii="Arial" w:hAnsi="Arial" w:cs="Arial"/>
                <w:sz w:val="20"/>
                <w:szCs w:val="20"/>
              </w:rPr>
              <w:t>%</w:t>
            </w:r>
            <w:r w:rsidR="003604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7724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28772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330" w:type="dxa"/>
          </w:tcPr>
          <w:p w:rsidR="000C209F" w:rsidRPr="006476C7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295F62" w:rsidRPr="00295F62">
              <w:rPr>
                <w:rFonts w:ascii="Arial" w:hAnsi="Arial" w:cs="Arial"/>
                <w:sz w:val="20"/>
                <w:szCs w:val="20"/>
              </w:rPr>
              <w:t>17,239.63</w:t>
            </w:r>
            <w:r w:rsidR="00287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>
              <w:rPr>
                <w:rFonts w:ascii="Arial" w:hAnsi="Arial" w:cs="Arial"/>
                <w:sz w:val="20"/>
                <w:szCs w:val="20"/>
              </w:rPr>
              <w:t>(</w:t>
            </w:r>
            <w:r w:rsidR="00287724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28772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420" w:type="dxa"/>
          </w:tcPr>
          <w:p w:rsidR="000C209F" w:rsidRPr="006476C7" w:rsidRDefault="00287724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5F62">
              <w:rPr>
                <w:rFonts w:ascii="Arial" w:hAnsi="Arial" w:cs="Arial"/>
                <w:sz w:val="20"/>
                <w:szCs w:val="20"/>
              </w:rPr>
              <w:t>6</w:t>
            </w:r>
            <w:r w:rsidR="00272964" w:rsidRPr="006476C7">
              <w:rPr>
                <w:rFonts w:ascii="Arial" w:hAnsi="Arial" w:cs="Arial"/>
                <w:sz w:val="20"/>
                <w:szCs w:val="20"/>
              </w:rPr>
              <w:t>%</w:t>
            </w:r>
            <w:r w:rsidR="0036047C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476C7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476C7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476C7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6476C7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6476C7">
              <w:rPr>
                <w:rFonts w:ascii="Arial" w:hAnsi="Arial" w:cs="Arial"/>
                <w:sz w:val="20"/>
                <w:szCs w:val="20"/>
              </w:rPr>
              <w:t>s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476C7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A11E8" w:rsidRP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a new TPF study number in 2021. See </w:t>
            </w:r>
            <w:r w:rsidR="0073406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new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TPF</w:t>
            </w:r>
            <w:r w:rsidR="0034607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. As such, partner agencies are requested to zero out their 2021 funding commitment on TPF-5(349) and instead place the 2021 funding commitment (and following years' commitments) on the new TPF</w:t>
            </w:r>
            <w:r w:rsidR="0034607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6476C7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11731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01B" w:rsidRDefault="001B001B" w:rsidP="001B0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Meetings:  </w:t>
            </w:r>
          </w:p>
          <w:p w:rsidR="001B001B" w:rsidRDefault="001B001B" w:rsidP="001B001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July -16 July 2021:  QAC Review Meetings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Embankment/Base and In-Place Density Field Operating Procedures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Concrete Field Operating Procedures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Aggregate Field Operating Procedures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Asphalt I &amp; II Field Operating Procedures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Self-Consolidating Concrete Module Field Operating Procedures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Revisions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FOP Library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Changes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Registration, Policies, and Information Handbook Changes</w:t>
            </w:r>
          </w:p>
          <w:p w:rsidR="001B001B" w:rsidRDefault="001B001B" w:rsidP="001B001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July 2021:  Executive Board Summer Meeting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follow-up:  R 25, R 25, R 100, T 30, T 85, T 88, T 121, T 152, T 166, T 209, T 272, T 283, T 308, T 312, T 329, T 331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Proposals Review:  R 47, R 76, T 176, T 310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QAC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Rexamination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Policy Changes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Changes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Registration, Policies, and Information Handbook Changes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Training Materials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FOP for R 60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 Assignments</w:t>
            </w:r>
          </w:p>
          <w:p w:rsidR="001B001B" w:rsidRDefault="001B001B" w:rsidP="001B001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 July -4 August 2021 AASHTO Committee on Materials Participation and Proposals</w:t>
            </w:r>
          </w:p>
          <w:p w:rsidR="001B001B" w:rsidRDefault="001B001B" w:rsidP="001B001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Continued work with the exam task force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Prometric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included a draft scope and a proposal review meeting.</w:t>
            </w:r>
          </w:p>
          <w:p w:rsidR="001B001B" w:rsidRDefault="001B001B" w:rsidP="001B001B">
            <w:pPr>
              <w:numPr>
                <w:ilvl w:val="1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 exam revisions for electronic delivery of written exams.</w:t>
            </w:r>
          </w:p>
          <w:p w:rsidR="00F738E3" w:rsidRPr="00611731" w:rsidRDefault="00F738E3" w:rsidP="006962A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11731" w:rsidTr="003B3781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11731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117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611731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01B" w:rsidRDefault="001B001B" w:rsidP="001B001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Publication updates for Calendar Year 2022, including Field Operating Procedure Manuals and Exams.</w:t>
            </w:r>
          </w:p>
          <w:p w:rsidR="001B001B" w:rsidRDefault="001B001B" w:rsidP="001B001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Board Meeting in November.</w:t>
            </w:r>
          </w:p>
          <w:p w:rsidR="00611731" w:rsidRDefault="001B001B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Continued implementation planning with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Prometric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written exam delivery.</w:t>
            </w:r>
          </w:p>
          <w:p w:rsidR="001B001B" w:rsidRPr="001B001B" w:rsidRDefault="001B001B" w:rsidP="001B001B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F738E3" w:rsidRPr="00611731" w:rsidRDefault="00F738E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611731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01B" w:rsidRDefault="001B001B" w:rsidP="001B001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test method revisions and proposals as outlined above.</w:t>
            </w:r>
          </w:p>
          <w:p w:rsidR="001B001B" w:rsidRDefault="001B001B" w:rsidP="001B001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Adjustments to exam policy and examinations, including authorization for and progress toward third-party electronic delivery of examinations.</w:t>
            </w:r>
          </w:p>
          <w:p w:rsidR="00440F27" w:rsidRDefault="00440F27" w:rsidP="006962A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62AB" w:rsidRPr="006476C7" w:rsidRDefault="006962AB" w:rsidP="006962A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821B5C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25191">
              <w:rPr>
                <w:rFonts w:ascii="Arial" w:hAnsi="Arial" w:cs="Arial"/>
                <w:sz w:val="20"/>
                <w:szCs w:val="20"/>
              </w:rPr>
              <w:t xml:space="preserve">COVID-19 </w:t>
            </w:r>
            <w:r>
              <w:rPr>
                <w:rFonts w:ascii="Arial" w:hAnsi="Arial" w:cs="Arial"/>
                <w:sz w:val="20"/>
                <w:szCs w:val="20"/>
              </w:rPr>
              <w:t xml:space="preserve">pandemic </w:t>
            </w:r>
            <w:r w:rsidR="00525191">
              <w:rPr>
                <w:rFonts w:ascii="Arial" w:hAnsi="Arial" w:cs="Arial"/>
                <w:sz w:val="20"/>
                <w:szCs w:val="20"/>
              </w:rPr>
              <w:t>red</w:t>
            </w:r>
            <w:r>
              <w:rPr>
                <w:rFonts w:ascii="Arial" w:hAnsi="Arial" w:cs="Arial"/>
                <w:sz w:val="20"/>
                <w:szCs w:val="20"/>
              </w:rPr>
              <w:t>uced ability to travel and meet in-person.</w:t>
            </w:r>
          </w:p>
          <w:p w:rsidR="001C55FF" w:rsidRPr="006476C7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01B" w:rsidRDefault="001B001B" w:rsidP="001B0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Field Operation Procedure Manuals will be delivered in Fall of 2021 for January 2022 implementation.</w:t>
            </w:r>
          </w:p>
          <w:p w:rsidR="001B001B" w:rsidRDefault="001B001B" w:rsidP="001B0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Publication revisions will be included for the August 2023 publications.</w:t>
            </w:r>
          </w:p>
          <w:p w:rsidR="009E61AF" w:rsidRPr="00360664" w:rsidRDefault="009E61AF" w:rsidP="00440F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0D" w:rsidRDefault="00E01B0D" w:rsidP="00106C83">
      <w:pPr>
        <w:spacing w:after="0" w:line="240" w:lineRule="auto"/>
      </w:pPr>
      <w:r>
        <w:separator/>
      </w:r>
    </w:p>
  </w:endnote>
  <w:endnote w:type="continuationSeparator" w:id="0">
    <w:p w:rsidR="00E01B0D" w:rsidRDefault="00E01B0D" w:rsidP="00106C83">
      <w:pPr>
        <w:spacing w:after="0" w:line="240" w:lineRule="auto"/>
      </w:pPr>
      <w:r>
        <w:continuationSeparator/>
      </w:r>
    </w:p>
  </w:endnote>
  <w:endnote w:type="continuationNotice" w:id="1">
    <w:p w:rsidR="00E01B0D" w:rsidRDefault="00E01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0D" w:rsidRDefault="00E01B0D" w:rsidP="00106C83">
      <w:pPr>
        <w:spacing w:after="0" w:line="240" w:lineRule="auto"/>
      </w:pPr>
      <w:r>
        <w:separator/>
      </w:r>
    </w:p>
  </w:footnote>
  <w:footnote w:type="continuationSeparator" w:id="0">
    <w:p w:rsidR="00E01B0D" w:rsidRDefault="00E01B0D" w:rsidP="00106C83">
      <w:pPr>
        <w:spacing w:after="0" w:line="240" w:lineRule="auto"/>
      </w:pPr>
      <w:r>
        <w:continuationSeparator/>
      </w:r>
    </w:p>
  </w:footnote>
  <w:footnote w:type="continuationNotice" w:id="1">
    <w:p w:rsidR="00E01B0D" w:rsidRDefault="00E01B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D4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02DA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216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001B"/>
    <w:rsid w:val="001B5BA5"/>
    <w:rsid w:val="001C03A1"/>
    <w:rsid w:val="001C0A2C"/>
    <w:rsid w:val="001C0E72"/>
    <w:rsid w:val="001C1DDE"/>
    <w:rsid w:val="001C1E3F"/>
    <w:rsid w:val="001C200C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F62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1402"/>
    <w:rsid w:val="00382110"/>
    <w:rsid w:val="00384F02"/>
    <w:rsid w:val="0038529F"/>
    <w:rsid w:val="003859E2"/>
    <w:rsid w:val="00386FBE"/>
    <w:rsid w:val="0038705A"/>
    <w:rsid w:val="0039301F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2A74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0F27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46CC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72F1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2821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475D"/>
    <w:rsid w:val="0059636D"/>
    <w:rsid w:val="005965D0"/>
    <w:rsid w:val="00596E62"/>
    <w:rsid w:val="005A0EC0"/>
    <w:rsid w:val="005A119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3864"/>
    <w:rsid w:val="00675A13"/>
    <w:rsid w:val="0068036E"/>
    <w:rsid w:val="00682C5E"/>
    <w:rsid w:val="00687192"/>
    <w:rsid w:val="0068762A"/>
    <w:rsid w:val="006962AB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170E"/>
    <w:rsid w:val="00715C3B"/>
    <w:rsid w:val="007168A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6C0C"/>
    <w:rsid w:val="007D73E1"/>
    <w:rsid w:val="007D7479"/>
    <w:rsid w:val="007E2F9C"/>
    <w:rsid w:val="007E50F7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07F41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47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2AE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10D0"/>
    <w:rsid w:val="00A622D5"/>
    <w:rsid w:val="00A62504"/>
    <w:rsid w:val="00A63677"/>
    <w:rsid w:val="00A6396D"/>
    <w:rsid w:val="00A64232"/>
    <w:rsid w:val="00A66413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AF6F08"/>
    <w:rsid w:val="00B00836"/>
    <w:rsid w:val="00B02CE3"/>
    <w:rsid w:val="00B052C3"/>
    <w:rsid w:val="00B0533F"/>
    <w:rsid w:val="00B108E6"/>
    <w:rsid w:val="00B10C81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1FE6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4C01"/>
    <w:rsid w:val="00D3591A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1B0D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59CB"/>
    <w:rsid w:val="00E2660D"/>
    <w:rsid w:val="00E30184"/>
    <w:rsid w:val="00E317F3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3B0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A4C51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2D69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CDB2-3A8D-41BB-8F74-EFED2133C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57127-7ABA-4B38-B25A-499C7C33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L. Scott Nussbaum</cp:lastModifiedBy>
  <cp:revision>22</cp:revision>
  <cp:lastPrinted>2011-06-21T20:32:00Z</cp:lastPrinted>
  <dcterms:created xsi:type="dcterms:W3CDTF">2021-08-13T19:43:00Z</dcterms:created>
  <dcterms:modified xsi:type="dcterms:W3CDTF">2021-10-25T20:13:00Z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