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7AE721EF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5C7ACA70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010EFC4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4248F6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2A1C3120" w14:textId="06419577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14B3006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25B0C9A0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B892104" w:rsidR="00535598" w:rsidRDefault="00B16A30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786BDDBB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248F6">
              <w:rPr>
                <w:rFonts w:ascii="Arial" w:hAnsi="Arial" w:cs="Arial"/>
                <w:sz w:val="20"/>
                <w:szCs w:val="20"/>
              </w:rPr>
              <w:t>119,018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273ED158" w:rsidR="00874EF7" w:rsidRPr="00B66A21" w:rsidRDefault="004248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D2"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19E431A" w:rsidR="00B66A21" w:rsidRPr="00B66A21" w:rsidRDefault="00B16A30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16FCC302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248F6">
              <w:rPr>
                <w:rFonts w:ascii="Arial" w:hAnsi="Arial" w:cs="Arial"/>
                <w:sz w:val="20"/>
                <w:szCs w:val="20"/>
              </w:rPr>
              <w:t>5,091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5AB898AA" w:rsidR="00B66A21" w:rsidRPr="00B66A21" w:rsidRDefault="00B16A3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16A3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5FD"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 w:rsidR="00F775FD"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59F18EC7" w:rsidR="00903657" w:rsidRPr="00575E57" w:rsidRDefault="004248F6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ODOT Maintenance teams stabilized</w:t>
            </w:r>
            <w:r w:rsidR="00B16A30">
              <w:rPr>
                <w:rFonts w:ascii="Arial" w:hAnsi="Arial" w:cs="Arial"/>
                <w:sz w:val="24"/>
                <w:szCs w:val="24"/>
              </w:rPr>
              <w:t xml:space="preserve"> site for BPM placement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Bioclean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installed. Three technologies installed in one bay. Pilot testing has begun.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CC02B6E" w14:textId="117337E6" w:rsidR="00A8702E" w:rsidRDefault="00A8702E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reporting</w:t>
            </w:r>
          </w:p>
          <w:p w14:paraId="11C9F3C8" w14:textId="13F97202" w:rsidR="009B0A5F" w:rsidRDefault="00964EA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  <w:r w:rsidR="00062D1C">
              <w:rPr>
                <w:rFonts w:ascii="Arial" w:hAnsi="Arial" w:cs="Arial"/>
                <w:sz w:val="24"/>
                <w:szCs w:val="24"/>
              </w:rPr>
              <w:t xml:space="preserve">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75C9A248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</w:t>
            </w:r>
            <w:r w:rsidR="004248F6">
              <w:rPr>
                <w:rFonts w:ascii="Arial" w:hAnsi="Arial" w:cs="Arial"/>
                <w:sz w:val="24"/>
                <w:szCs w:val="24"/>
              </w:rPr>
              <w:t>of facility in progress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delay until late </w:t>
            </w:r>
            <w:r w:rsidR="00964EA1">
              <w:rPr>
                <w:rFonts w:ascii="Arial" w:hAnsi="Arial" w:cs="Arial"/>
                <w:sz w:val="24"/>
                <w:szCs w:val="24"/>
              </w:rPr>
              <w:t>Fall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7648D2FD" w:rsidR="00601EBD" w:rsidRPr="00A00F60" w:rsidRDefault="00AE1F3C" w:rsidP="00A00F60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test slow to start. Should be obtaining data this </w:t>
            </w:r>
            <w:r w:rsidR="00A00F60">
              <w:rPr>
                <w:rFonts w:ascii="Arial" w:hAnsi="Arial" w:cs="Arial"/>
                <w:sz w:val="24"/>
                <w:szCs w:val="24"/>
              </w:rPr>
              <w:t xml:space="preserve">next </w:t>
            </w:r>
            <w:r>
              <w:rPr>
                <w:rFonts w:ascii="Arial" w:hAnsi="Arial" w:cs="Arial"/>
                <w:sz w:val="24"/>
                <w:szCs w:val="24"/>
              </w:rPr>
              <w:t>quarter</w:t>
            </w:r>
            <w:bookmarkStart w:id="0" w:name="_GoBack"/>
            <w:bookmarkEnd w:id="0"/>
            <w:r w:rsidR="00A00F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636E1"/>
    <w:rsid w:val="003752BD"/>
    <w:rsid w:val="0038705A"/>
    <w:rsid w:val="003933E2"/>
    <w:rsid w:val="003E3993"/>
    <w:rsid w:val="003E5C54"/>
    <w:rsid w:val="004144E6"/>
    <w:rsid w:val="004156B2"/>
    <w:rsid w:val="0042082A"/>
    <w:rsid w:val="004248F6"/>
    <w:rsid w:val="00437734"/>
    <w:rsid w:val="004E14DC"/>
    <w:rsid w:val="004E64A5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647ED"/>
    <w:rsid w:val="00CA6035"/>
    <w:rsid w:val="00CC691F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9810-F3D2-4B32-80B3-49EFEF05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2</cp:revision>
  <cp:lastPrinted>2011-06-21T20:32:00Z</cp:lastPrinted>
  <dcterms:created xsi:type="dcterms:W3CDTF">2021-10-29T22:10:00Z</dcterms:created>
  <dcterms:modified xsi:type="dcterms:W3CDTF">2021-10-29T22:10:00Z</dcterms:modified>
</cp:coreProperties>
</file>